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0A39C" w14:textId="77777777" w:rsidR="0028750E" w:rsidRPr="00F74644" w:rsidRDefault="00000000">
      <w:pPr>
        <w:pStyle w:val="Heading1"/>
        <w:rPr>
          <w:rFonts w:ascii="Source Sans Pro" w:hAnsi="Source Sans Pro"/>
          <w:color w:val="000000" w:themeColor="text1"/>
          <w:sz w:val="32"/>
          <w:szCs w:val="32"/>
        </w:rPr>
      </w:pPr>
      <w:r w:rsidRPr="00F74644">
        <w:rPr>
          <w:rFonts w:ascii="Source Sans Pro" w:hAnsi="Source Sans Pro"/>
          <w:color w:val="000000" w:themeColor="text1"/>
          <w:sz w:val="32"/>
          <w:szCs w:val="32"/>
        </w:rPr>
        <w:t>What to Test in Sandbox – Freshservice &amp; ITIL Alignment</w:t>
      </w:r>
    </w:p>
    <w:p w14:paraId="1A816A9F" w14:textId="77777777" w:rsidR="0028750E" w:rsidRPr="00F74644" w:rsidRDefault="00000000">
      <w:pPr>
        <w:rPr>
          <w:rFonts w:ascii="Georgia" w:hAnsi="Georgia"/>
          <w:color w:val="000000" w:themeColor="text1"/>
          <w:sz w:val="24"/>
          <w:szCs w:val="24"/>
        </w:rPr>
      </w:pPr>
      <w:r w:rsidRPr="00F74644">
        <w:rPr>
          <w:rFonts w:ascii="Georgia" w:hAnsi="Georgia"/>
          <w:color w:val="000000" w:themeColor="text1"/>
          <w:sz w:val="24"/>
          <w:szCs w:val="24"/>
        </w:rPr>
        <w:t>This guide outlines recommended test scenarios in a Freshservice sandbox environment to validate system configuration, workflow logic, and user experience. Each area should be evaluated under multiple user roles (e.g., Admin, Agent, Requester) to ensure accuracy and compliance with ITIL-aligned processes.</w:t>
      </w:r>
    </w:p>
    <w:p w14:paraId="71E40C28" w14:textId="77777777" w:rsidR="0028750E" w:rsidRDefault="00000000">
      <w:pPr>
        <w:pStyle w:val="Heading2"/>
        <w:rPr>
          <w:rFonts w:ascii="Georgia" w:hAnsi="Georgia"/>
          <w:color w:val="000000" w:themeColor="text1"/>
          <w:sz w:val="24"/>
          <w:szCs w:val="24"/>
        </w:rPr>
      </w:pPr>
      <w:r w:rsidRPr="00F74644">
        <w:rPr>
          <w:rFonts w:ascii="Georgia" w:hAnsi="Georgia"/>
          <w:color w:val="000000" w:themeColor="text1"/>
          <w:sz w:val="24"/>
          <w:szCs w:val="24"/>
        </w:rPr>
        <w:t>Test Matrix by Feature Area</w:t>
      </w:r>
    </w:p>
    <w:p w14:paraId="212B4A26" w14:textId="77777777" w:rsidR="00F74644" w:rsidRPr="00F74644" w:rsidRDefault="00F74644" w:rsidP="00F7464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0"/>
      </w:tblGrid>
      <w:tr w:rsidR="00F74644" w:rsidRPr="00F74644" w14:paraId="30C32992" w14:textId="77777777" w:rsidTr="00F74644">
        <w:trPr>
          <w:trHeight w:val="486"/>
        </w:trPr>
        <w:tc>
          <w:tcPr>
            <w:tcW w:w="4320" w:type="dxa"/>
          </w:tcPr>
          <w:p w14:paraId="54B355CA" w14:textId="77777777" w:rsidR="0028750E" w:rsidRPr="00F74644" w:rsidRDefault="00000000" w:rsidP="00F74644">
            <w:pPr>
              <w:jc w:val="center"/>
              <w:rPr>
                <w:rFonts w:ascii="Georgia" w:hAnsi="Georgia"/>
                <w:b/>
                <w:bCs/>
                <w:color w:val="000000" w:themeColor="text1"/>
                <w:sz w:val="24"/>
                <w:szCs w:val="24"/>
              </w:rPr>
            </w:pPr>
            <w:r w:rsidRPr="00F74644">
              <w:rPr>
                <w:rFonts w:ascii="Georgia" w:hAnsi="Georgia"/>
                <w:b/>
                <w:bCs/>
                <w:color w:val="000000" w:themeColor="text1"/>
                <w:sz w:val="24"/>
                <w:szCs w:val="24"/>
              </w:rPr>
              <w:t>Feature Area</w:t>
            </w:r>
          </w:p>
        </w:tc>
        <w:tc>
          <w:tcPr>
            <w:tcW w:w="4320" w:type="dxa"/>
          </w:tcPr>
          <w:p w14:paraId="7EEEF893" w14:textId="77777777" w:rsidR="0028750E" w:rsidRPr="00F74644" w:rsidRDefault="00000000" w:rsidP="00F74644">
            <w:pPr>
              <w:jc w:val="center"/>
              <w:rPr>
                <w:rFonts w:ascii="Georgia" w:hAnsi="Georgia"/>
                <w:b/>
                <w:bCs/>
                <w:color w:val="000000" w:themeColor="text1"/>
                <w:sz w:val="24"/>
                <w:szCs w:val="24"/>
              </w:rPr>
            </w:pPr>
            <w:r w:rsidRPr="00F74644">
              <w:rPr>
                <w:rFonts w:ascii="Georgia" w:hAnsi="Georgia"/>
                <w:b/>
                <w:bCs/>
                <w:color w:val="000000" w:themeColor="text1"/>
                <w:sz w:val="24"/>
                <w:szCs w:val="24"/>
              </w:rPr>
              <w:t>Test Scenarios</w:t>
            </w:r>
          </w:p>
        </w:tc>
      </w:tr>
      <w:tr w:rsidR="00F74644" w:rsidRPr="00F74644" w14:paraId="42149C98" w14:textId="77777777" w:rsidTr="00F74644">
        <w:tc>
          <w:tcPr>
            <w:tcW w:w="4320" w:type="dxa"/>
          </w:tcPr>
          <w:p w14:paraId="4A1E9DC8" w14:textId="77777777" w:rsidR="0028750E" w:rsidRPr="00F74644" w:rsidRDefault="00000000">
            <w:pPr>
              <w:rPr>
                <w:rFonts w:ascii="Georgia" w:hAnsi="Georgia"/>
                <w:b/>
                <w:bCs/>
                <w:color w:val="000000" w:themeColor="text1"/>
                <w:sz w:val="24"/>
                <w:szCs w:val="24"/>
              </w:rPr>
            </w:pPr>
            <w:r w:rsidRPr="00F74644">
              <w:rPr>
                <w:rFonts w:ascii="Georgia" w:hAnsi="Georgia"/>
                <w:b/>
                <w:bCs/>
                <w:color w:val="000000" w:themeColor="text1"/>
                <w:sz w:val="24"/>
                <w:szCs w:val="24"/>
              </w:rPr>
              <w:t>Workflows</w:t>
            </w:r>
          </w:p>
        </w:tc>
        <w:tc>
          <w:tcPr>
            <w:tcW w:w="4320" w:type="dxa"/>
          </w:tcPr>
          <w:p w14:paraId="1397D009" w14:textId="77777777" w:rsidR="0028750E" w:rsidRPr="00F74644" w:rsidRDefault="00000000">
            <w:pPr>
              <w:rPr>
                <w:rFonts w:ascii="Georgia" w:hAnsi="Georgia"/>
                <w:color w:val="000000" w:themeColor="text1"/>
                <w:sz w:val="24"/>
                <w:szCs w:val="24"/>
              </w:rPr>
            </w:pPr>
            <w:r w:rsidRPr="00F74644">
              <w:rPr>
                <w:rFonts w:ascii="Georgia" w:hAnsi="Georgia"/>
                <w:color w:val="000000" w:themeColor="text1"/>
                <w:sz w:val="24"/>
                <w:szCs w:val="24"/>
              </w:rPr>
              <w:t>Ticket routing, SLA changes, manager approvals</w:t>
            </w:r>
          </w:p>
        </w:tc>
      </w:tr>
      <w:tr w:rsidR="00F74644" w:rsidRPr="00F74644" w14:paraId="59DDE2EC" w14:textId="77777777" w:rsidTr="00F74644">
        <w:tc>
          <w:tcPr>
            <w:tcW w:w="4320" w:type="dxa"/>
          </w:tcPr>
          <w:p w14:paraId="2BC85D52" w14:textId="77777777" w:rsidR="0028750E" w:rsidRPr="00F74644" w:rsidRDefault="00000000">
            <w:pPr>
              <w:rPr>
                <w:rFonts w:ascii="Georgia" w:hAnsi="Georgia"/>
                <w:b/>
                <w:bCs/>
                <w:color w:val="000000" w:themeColor="text1"/>
                <w:sz w:val="24"/>
                <w:szCs w:val="24"/>
              </w:rPr>
            </w:pPr>
            <w:r w:rsidRPr="00F74644">
              <w:rPr>
                <w:rFonts w:ascii="Georgia" w:hAnsi="Georgia"/>
                <w:b/>
                <w:bCs/>
                <w:color w:val="000000" w:themeColor="text1"/>
                <w:sz w:val="24"/>
                <w:szCs w:val="24"/>
              </w:rPr>
              <w:t>Service Catalog</w:t>
            </w:r>
          </w:p>
        </w:tc>
        <w:tc>
          <w:tcPr>
            <w:tcW w:w="4320" w:type="dxa"/>
          </w:tcPr>
          <w:p w14:paraId="40B0CE0F" w14:textId="77777777" w:rsidR="0028750E" w:rsidRPr="00F74644" w:rsidRDefault="00000000">
            <w:pPr>
              <w:rPr>
                <w:rFonts w:ascii="Georgia" w:hAnsi="Georgia"/>
                <w:color w:val="000000" w:themeColor="text1"/>
                <w:sz w:val="24"/>
                <w:szCs w:val="24"/>
              </w:rPr>
            </w:pPr>
            <w:r w:rsidRPr="00F74644">
              <w:rPr>
                <w:rFonts w:ascii="Georgia" w:hAnsi="Georgia"/>
                <w:color w:val="000000" w:themeColor="text1"/>
                <w:sz w:val="24"/>
                <w:szCs w:val="24"/>
              </w:rPr>
              <w:t>Form field logic, conditional visibility, request fulfillment</w:t>
            </w:r>
          </w:p>
        </w:tc>
      </w:tr>
      <w:tr w:rsidR="00F74644" w:rsidRPr="00F74644" w14:paraId="0C430698" w14:textId="77777777" w:rsidTr="00F74644">
        <w:tc>
          <w:tcPr>
            <w:tcW w:w="4320" w:type="dxa"/>
          </w:tcPr>
          <w:p w14:paraId="305770E5" w14:textId="77777777" w:rsidR="0028750E" w:rsidRPr="00F74644" w:rsidRDefault="00000000">
            <w:pPr>
              <w:rPr>
                <w:rFonts w:ascii="Georgia" w:hAnsi="Georgia"/>
                <w:b/>
                <w:bCs/>
                <w:color w:val="000000" w:themeColor="text1"/>
                <w:sz w:val="24"/>
                <w:szCs w:val="24"/>
              </w:rPr>
            </w:pPr>
            <w:r w:rsidRPr="00F74644">
              <w:rPr>
                <w:rFonts w:ascii="Georgia" w:hAnsi="Georgia"/>
                <w:b/>
                <w:bCs/>
                <w:color w:val="000000" w:themeColor="text1"/>
                <w:sz w:val="24"/>
                <w:szCs w:val="24"/>
              </w:rPr>
              <w:t>Asset CMDB</w:t>
            </w:r>
          </w:p>
        </w:tc>
        <w:tc>
          <w:tcPr>
            <w:tcW w:w="4320" w:type="dxa"/>
          </w:tcPr>
          <w:p w14:paraId="2592D005" w14:textId="77777777" w:rsidR="0028750E" w:rsidRPr="00F74644" w:rsidRDefault="00000000">
            <w:pPr>
              <w:rPr>
                <w:rFonts w:ascii="Georgia" w:hAnsi="Georgia"/>
                <w:color w:val="000000" w:themeColor="text1"/>
                <w:sz w:val="24"/>
                <w:szCs w:val="24"/>
              </w:rPr>
            </w:pPr>
            <w:r w:rsidRPr="00F74644">
              <w:rPr>
                <w:rFonts w:ascii="Georgia" w:hAnsi="Georgia"/>
                <w:color w:val="000000" w:themeColor="text1"/>
                <w:sz w:val="24"/>
                <w:szCs w:val="24"/>
              </w:rPr>
              <w:t>Relationship mapping, lookups, asset status changes</w:t>
            </w:r>
          </w:p>
        </w:tc>
      </w:tr>
      <w:tr w:rsidR="00F74644" w:rsidRPr="00F74644" w14:paraId="39FDACFD" w14:textId="77777777" w:rsidTr="00F74644">
        <w:tc>
          <w:tcPr>
            <w:tcW w:w="4320" w:type="dxa"/>
          </w:tcPr>
          <w:p w14:paraId="0260A03B" w14:textId="77777777" w:rsidR="0028750E" w:rsidRPr="00F74644" w:rsidRDefault="00000000">
            <w:pPr>
              <w:rPr>
                <w:rFonts w:ascii="Georgia" w:hAnsi="Georgia"/>
                <w:b/>
                <w:bCs/>
                <w:color w:val="000000" w:themeColor="text1"/>
                <w:sz w:val="24"/>
                <w:szCs w:val="24"/>
              </w:rPr>
            </w:pPr>
            <w:r w:rsidRPr="00F74644">
              <w:rPr>
                <w:rFonts w:ascii="Georgia" w:hAnsi="Georgia"/>
                <w:b/>
                <w:bCs/>
                <w:color w:val="000000" w:themeColor="text1"/>
                <w:sz w:val="24"/>
                <w:szCs w:val="24"/>
              </w:rPr>
              <w:t>Roles &amp; Groups</w:t>
            </w:r>
          </w:p>
        </w:tc>
        <w:tc>
          <w:tcPr>
            <w:tcW w:w="4320" w:type="dxa"/>
          </w:tcPr>
          <w:p w14:paraId="4FEFB4F3" w14:textId="77777777" w:rsidR="0028750E" w:rsidRPr="00F74644" w:rsidRDefault="00000000">
            <w:pPr>
              <w:rPr>
                <w:rFonts w:ascii="Georgia" w:hAnsi="Georgia"/>
                <w:color w:val="000000" w:themeColor="text1"/>
                <w:sz w:val="24"/>
                <w:szCs w:val="24"/>
              </w:rPr>
            </w:pPr>
            <w:r w:rsidRPr="00F74644">
              <w:rPr>
                <w:rFonts w:ascii="Georgia" w:hAnsi="Georgia"/>
                <w:color w:val="000000" w:themeColor="text1"/>
                <w:sz w:val="24"/>
                <w:szCs w:val="24"/>
              </w:rPr>
              <w:t>Role-based visibility, access boundaries</w:t>
            </w:r>
          </w:p>
        </w:tc>
      </w:tr>
      <w:tr w:rsidR="00F74644" w:rsidRPr="00F74644" w14:paraId="31044DCD" w14:textId="77777777" w:rsidTr="00F74644">
        <w:tc>
          <w:tcPr>
            <w:tcW w:w="4320" w:type="dxa"/>
          </w:tcPr>
          <w:p w14:paraId="53E2472B" w14:textId="77777777" w:rsidR="0028750E" w:rsidRPr="00F74644" w:rsidRDefault="00000000">
            <w:pPr>
              <w:rPr>
                <w:rFonts w:ascii="Georgia" w:hAnsi="Georgia"/>
                <w:b/>
                <w:bCs/>
                <w:color w:val="000000" w:themeColor="text1"/>
                <w:sz w:val="24"/>
                <w:szCs w:val="24"/>
              </w:rPr>
            </w:pPr>
            <w:r w:rsidRPr="00F74644">
              <w:rPr>
                <w:rFonts w:ascii="Georgia" w:hAnsi="Georgia"/>
                <w:b/>
                <w:bCs/>
                <w:color w:val="000000" w:themeColor="text1"/>
                <w:sz w:val="24"/>
                <w:szCs w:val="24"/>
              </w:rPr>
              <w:t>SLA Policies</w:t>
            </w:r>
          </w:p>
        </w:tc>
        <w:tc>
          <w:tcPr>
            <w:tcW w:w="4320" w:type="dxa"/>
          </w:tcPr>
          <w:p w14:paraId="2AD10D9F" w14:textId="77777777" w:rsidR="0028750E" w:rsidRPr="00F74644" w:rsidRDefault="00000000">
            <w:pPr>
              <w:rPr>
                <w:rFonts w:ascii="Georgia" w:hAnsi="Georgia"/>
                <w:color w:val="000000" w:themeColor="text1"/>
                <w:sz w:val="24"/>
                <w:szCs w:val="24"/>
              </w:rPr>
            </w:pPr>
            <w:r w:rsidRPr="00F74644">
              <w:rPr>
                <w:rFonts w:ascii="Georgia" w:hAnsi="Georgia"/>
                <w:color w:val="000000" w:themeColor="text1"/>
                <w:sz w:val="24"/>
                <w:szCs w:val="24"/>
              </w:rPr>
              <w:t>Timer behavior, escalation notifications</w:t>
            </w:r>
          </w:p>
        </w:tc>
      </w:tr>
      <w:tr w:rsidR="00F74644" w:rsidRPr="00F74644" w14:paraId="40ADD97E" w14:textId="77777777" w:rsidTr="00F74644">
        <w:tc>
          <w:tcPr>
            <w:tcW w:w="4320" w:type="dxa"/>
          </w:tcPr>
          <w:p w14:paraId="0D297E6D" w14:textId="77777777" w:rsidR="0028750E" w:rsidRPr="00F74644" w:rsidRDefault="00000000">
            <w:pPr>
              <w:rPr>
                <w:rFonts w:ascii="Georgia" w:hAnsi="Georgia"/>
                <w:b/>
                <w:bCs/>
                <w:color w:val="000000" w:themeColor="text1"/>
                <w:sz w:val="24"/>
                <w:szCs w:val="24"/>
              </w:rPr>
            </w:pPr>
            <w:r w:rsidRPr="00F74644">
              <w:rPr>
                <w:rFonts w:ascii="Georgia" w:hAnsi="Georgia"/>
                <w:b/>
                <w:bCs/>
                <w:color w:val="000000" w:themeColor="text1"/>
                <w:sz w:val="24"/>
                <w:szCs w:val="24"/>
              </w:rPr>
              <w:t>Integrations</w:t>
            </w:r>
          </w:p>
        </w:tc>
        <w:tc>
          <w:tcPr>
            <w:tcW w:w="4320" w:type="dxa"/>
          </w:tcPr>
          <w:p w14:paraId="0BE3E3FB" w14:textId="77777777" w:rsidR="0028750E" w:rsidRPr="00F74644" w:rsidRDefault="00000000">
            <w:pPr>
              <w:rPr>
                <w:rFonts w:ascii="Georgia" w:hAnsi="Georgia"/>
                <w:color w:val="000000" w:themeColor="text1"/>
                <w:sz w:val="24"/>
                <w:szCs w:val="24"/>
              </w:rPr>
            </w:pPr>
            <w:r w:rsidRPr="00F74644">
              <w:rPr>
                <w:rFonts w:ascii="Georgia" w:hAnsi="Georgia"/>
                <w:color w:val="000000" w:themeColor="text1"/>
                <w:sz w:val="24"/>
                <w:szCs w:val="24"/>
              </w:rPr>
              <w:t>API requests, app node calls, webhook responses</w:t>
            </w:r>
          </w:p>
        </w:tc>
      </w:tr>
      <w:tr w:rsidR="00F74644" w:rsidRPr="00F74644" w14:paraId="6ACBBA28" w14:textId="77777777" w:rsidTr="00F74644">
        <w:tc>
          <w:tcPr>
            <w:tcW w:w="4320" w:type="dxa"/>
          </w:tcPr>
          <w:p w14:paraId="687D9149" w14:textId="77777777" w:rsidR="0028750E" w:rsidRPr="00F74644" w:rsidRDefault="00000000">
            <w:pPr>
              <w:rPr>
                <w:rFonts w:ascii="Georgia" w:hAnsi="Georgia"/>
                <w:b/>
                <w:bCs/>
                <w:color w:val="000000" w:themeColor="text1"/>
                <w:sz w:val="24"/>
                <w:szCs w:val="24"/>
              </w:rPr>
            </w:pPr>
            <w:r w:rsidRPr="00F74644">
              <w:rPr>
                <w:rFonts w:ascii="Georgia" w:hAnsi="Georgia"/>
                <w:b/>
                <w:bCs/>
                <w:color w:val="000000" w:themeColor="text1"/>
                <w:sz w:val="24"/>
                <w:szCs w:val="24"/>
              </w:rPr>
              <w:t>Portal</w:t>
            </w:r>
          </w:p>
        </w:tc>
        <w:tc>
          <w:tcPr>
            <w:tcW w:w="4320" w:type="dxa"/>
          </w:tcPr>
          <w:p w14:paraId="343B878B" w14:textId="77777777" w:rsidR="0028750E" w:rsidRPr="00F74644" w:rsidRDefault="00000000">
            <w:pPr>
              <w:rPr>
                <w:rFonts w:ascii="Georgia" w:hAnsi="Georgia"/>
                <w:color w:val="000000" w:themeColor="text1"/>
                <w:sz w:val="24"/>
                <w:szCs w:val="24"/>
              </w:rPr>
            </w:pPr>
            <w:r w:rsidRPr="00F74644">
              <w:rPr>
                <w:rFonts w:ascii="Georgia" w:hAnsi="Georgia"/>
                <w:color w:val="000000" w:themeColor="text1"/>
                <w:sz w:val="24"/>
                <w:szCs w:val="24"/>
              </w:rPr>
              <w:t>End-user visibility, language localization, announcement rendering</w:t>
            </w:r>
          </w:p>
        </w:tc>
      </w:tr>
    </w:tbl>
    <w:p w14:paraId="24B1887E" w14:textId="77777777" w:rsidR="0028750E" w:rsidRPr="00F74644" w:rsidRDefault="00000000">
      <w:pPr>
        <w:pStyle w:val="Heading2"/>
        <w:rPr>
          <w:rFonts w:ascii="Georgia" w:hAnsi="Georgia"/>
          <w:color w:val="000000" w:themeColor="text1"/>
          <w:sz w:val="24"/>
          <w:szCs w:val="24"/>
        </w:rPr>
      </w:pPr>
      <w:r w:rsidRPr="00F74644">
        <w:rPr>
          <w:rFonts w:ascii="Georgia" w:hAnsi="Georgia"/>
          <w:color w:val="000000" w:themeColor="text1"/>
          <w:sz w:val="24"/>
          <w:szCs w:val="24"/>
        </w:rPr>
        <w:t>ITIL Alignment</w:t>
      </w:r>
    </w:p>
    <w:p w14:paraId="49CE1C45" w14:textId="77777777" w:rsidR="0028750E" w:rsidRPr="00F74644" w:rsidRDefault="00000000">
      <w:pPr>
        <w:rPr>
          <w:rFonts w:ascii="Georgia" w:hAnsi="Georgia"/>
          <w:color w:val="000000" w:themeColor="text1"/>
          <w:sz w:val="24"/>
          <w:szCs w:val="24"/>
        </w:rPr>
      </w:pPr>
      <w:r w:rsidRPr="00F74644">
        <w:rPr>
          <w:rFonts w:ascii="Georgia" w:hAnsi="Georgia"/>
          <w:color w:val="000000" w:themeColor="text1"/>
          <w:sz w:val="24"/>
          <w:szCs w:val="24"/>
        </w:rPr>
        <w:t>• Service Validation and Testing: Ensures each component functions as designed across ITIL processes.</w:t>
      </w:r>
      <w:r w:rsidRPr="00F74644">
        <w:rPr>
          <w:rFonts w:ascii="Georgia" w:hAnsi="Georgia"/>
          <w:color w:val="000000" w:themeColor="text1"/>
          <w:sz w:val="24"/>
          <w:szCs w:val="24"/>
        </w:rPr>
        <w:br/>
        <w:t>• Change Enablement: Validates that new configurations or workflows do not introduce risk or unintended behavior.</w:t>
      </w:r>
      <w:r w:rsidRPr="00F74644">
        <w:rPr>
          <w:rFonts w:ascii="Georgia" w:hAnsi="Georgia"/>
          <w:color w:val="000000" w:themeColor="text1"/>
          <w:sz w:val="24"/>
          <w:szCs w:val="24"/>
        </w:rPr>
        <w:br/>
        <w:t>• Access Management: Confirms proper role segregation and access controls.</w:t>
      </w:r>
      <w:r w:rsidRPr="00F74644">
        <w:rPr>
          <w:rFonts w:ascii="Georgia" w:hAnsi="Georgia"/>
          <w:color w:val="000000" w:themeColor="text1"/>
          <w:sz w:val="24"/>
          <w:szCs w:val="24"/>
        </w:rPr>
        <w:br/>
        <w:t>• Continual Improvement: Identifies usability or configuration issues early, enabling remediation before production use.</w:t>
      </w:r>
    </w:p>
    <w:sectPr w:rsidR="0028750E" w:rsidRPr="00F74644"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Source Sans Pro">
    <w:panose1 w:val="020B0503030403020204"/>
    <w:charset w:val="00"/>
    <w:family w:val="swiss"/>
    <w:pitch w:val="variable"/>
    <w:sig w:usb0="600002F7" w:usb1="02000001"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634746830">
    <w:abstractNumId w:val="8"/>
  </w:num>
  <w:num w:numId="2" w16cid:durableId="1699963871">
    <w:abstractNumId w:val="6"/>
  </w:num>
  <w:num w:numId="3" w16cid:durableId="1997876544">
    <w:abstractNumId w:val="5"/>
  </w:num>
  <w:num w:numId="4" w16cid:durableId="1390223610">
    <w:abstractNumId w:val="4"/>
  </w:num>
  <w:num w:numId="5" w16cid:durableId="457719933">
    <w:abstractNumId w:val="7"/>
  </w:num>
  <w:num w:numId="6" w16cid:durableId="339357889">
    <w:abstractNumId w:val="3"/>
  </w:num>
  <w:num w:numId="7" w16cid:durableId="554127066">
    <w:abstractNumId w:val="2"/>
  </w:num>
  <w:num w:numId="8" w16cid:durableId="107630948">
    <w:abstractNumId w:val="1"/>
  </w:num>
  <w:num w:numId="9" w16cid:durableId="815755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261D"/>
    <w:rsid w:val="00034616"/>
    <w:rsid w:val="0006063C"/>
    <w:rsid w:val="0015074B"/>
    <w:rsid w:val="0028750E"/>
    <w:rsid w:val="0029639D"/>
    <w:rsid w:val="00326F90"/>
    <w:rsid w:val="00AA1D8D"/>
    <w:rsid w:val="00B47730"/>
    <w:rsid w:val="00CB0664"/>
    <w:rsid w:val="00F7464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8131B7"/>
  <w14:defaultImageDpi w14:val="300"/>
  <w15:docId w15:val="{C8DA12B3-59FE-6648-A437-E4889D89E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191</Words>
  <Characters>1107</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Race Vanderdecken</cp:lastModifiedBy>
  <cp:revision>2</cp:revision>
  <dcterms:created xsi:type="dcterms:W3CDTF">2013-12-23T23:15:00Z</dcterms:created>
  <dcterms:modified xsi:type="dcterms:W3CDTF">2025-06-05T22:00:00Z</dcterms:modified>
  <cp:category/>
</cp:coreProperties>
</file>