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52FAF" w14:textId="77777777" w:rsidR="00C859F7" w:rsidRPr="00013813" w:rsidRDefault="00000000">
      <w:pPr>
        <w:pStyle w:val="Heading1"/>
        <w:rPr>
          <w:rFonts w:ascii="Source Sans Pro" w:hAnsi="Source Sans Pro"/>
          <w:color w:val="000000" w:themeColor="text1"/>
          <w:sz w:val="40"/>
          <w:szCs w:val="40"/>
        </w:rPr>
      </w:pPr>
      <w:r w:rsidRPr="00013813">
        <w:rPr>
          <w:rFonts w:ascii="Source Sans Pro" w:hAnsi="Source Sans Pro"/>
          <w:color w:val="000000" w:themeColor="text1"/>
          <w:sz w:val="40"/>
          <w:szCs w:val="40"/>
        </w:rPr>
        <w:t>Appendix – ITIL Principles Applied in Freshservice Sandbox Testing</w:t>
      </w:r>
    </w:p>
    <w:p w14:paraId="53232E6E" w14:textId="77777777" w:rsidR="00C859F7" w:rsidRPr="00013813" w:rsidRDefault="00000000">
      <w:pPr>
        <w:rPr>
          <w:rFonts w:ascii="Georgia" w:hAnsi="Georgia"/>
          <w:color w:val="000000" w:themeColor="text1"/>
          <w:sz w:val="24"/>
          <w:szCs w:val="24"/>
        </w:rPr>
      </w:pPr>
      <w:r w:rsidRPr="00013813">
        <w:rPr>
          <w:rFonts w:ascii="Georgia" w:hAnsi="Georgia"/>
          <w:color w:val="000000" w:themeColor="text1"/>
          <w:sz w:val="24"/>
          <w:szCs w:val="24"/>
        </w:rPr>
        <w:t>This appendix outlines how sandbox testing environments in Freshservice align with key ITIL practices and value chain activities. By applying these principles, organizations can validate service quality, manage change risk, and continuously improve system performance.</w:t>
      </w:r>
    </w:p>
    <w:p w14:paraId="07B91458" w14:textId="77777777" w:rsidR="00C859F7" w:rsidRPr="00013813" w:rsidRDefault="00000000">
      <w:pPr>
        <w:pStyle w:val="Heading2"/>
        <w:rPr>
          <w:rFonts w:ascii="Georgia" w:hAnsi="Georgia"/>
          <w:color w:val="000000" w:themeColor="text1"/>
          <w:sz w:val="24"/>
          <w:szCs w:val="24"/>
        </w:rPr>
      </w:pPr>
      <w:r w:rsidRPr="00013813">
        <w:rPr>
          <w:rFonts w:ascii="Georgia" w:hAnsi="Georgia"/>
          <w:color w:val="000000" w:themeColor="text1"/>
          <w:sz w:val="24"/>
          <w:szCs w:val="24"/>
        </w:rPr>
        <w:t>Relevant ITIL Practices</w:t>
      </w:r>
    </w:p>
    <w:p w14:paraId="624E3A66" w14:textId="402712AA" w:rsidR="00C859F7" w:rsidRPr="00013813" w:rsidRDefault="00000000" w:rsidP="00013813">
      <w:pPr>
        <w:pStyle w:val="ListBullet"/>
        <w:numPr>
          <w:ilvl w:val="0"/>
          <w:numId w:val="11"/>
        </w:numPr>
        <w:rPr>
          <w:rFonts w:ascii="Georgia" w:hAnsi="Georgia"/>
          <w:color w:val="000000" w:themeColor="text1"/>
          <w:sz w:val="24"/>
          <w:szCs w:val="24"/>
        </w:rPr>
      </w:pPr>
      <w:r w:rsidRPr="00013813">
        <w:rPr>
          <w:rFonts w:ascii="Georgia" w:hAnsi="Georgia"/>
          <w:color w:val="000000" w:themeColor="text1"/>
          <w:sz w:val="24"/>
          <w:szCs w:val="24"/>
        </w:rPr>
        <w:t>Service Validation and Testing: Ensures that changes function correctly in simulated real-world conditions before deployment in production.</w:t>
      </w:r>
    </w:p>
    <w:p w14:paraId="6E23515D" w14:textId="56253FD5" w:rsidR="00C859F7" w:rsidRPr="00013813" w:rsidRDefault="00000000" w:rsidP="00013813">
      <w:pPr>
        <w:pStyle w:val="ListBullet"/>
        <w:numPr>
          <w:ilvl w:val="0"/>
          <w:numId w:val="11"/>
        </w:numPr>
        <w:rPr>
          <w:rFonts w:ascii="Georgia" w:hAnsi="Georgia"/>
          <w:color w:val="000000" w:themeColor="text1"/>
          <w:sz w:val="24"/>
          <w:szCs w:val="24"/>
        </w:rPr>
      </w:pPr>
      <w:r w:rsidRPr="00013813">
        <w:rPr>
          <w:rFonts w:ascii="Georgia" w:hAnsi="Georgia"/>
          <w:color w:val="000000" w:themeColor="text1"/>
          <w:sz w:val="24"/>
          <w:szCs w:val="24"/>
        </w:rPr>
        <w:t>Change Enablement: Reduces risk by allowing iterative refinement and stakeholder buy-in.</w:t>
      </w:r>
    </w:p>
    <w:p w14:paraId="5BF555B8" w14:textId="380A859E" w:rsidR="00C859F7" w:rsidRPr="00013813" w:rsidRDefault="00000000" w:rsidP="00013813">
      <w:pPr>
        <w:pStyle w:val="ListBullet"/>
        <w:numPr>
          <w:ilvl w:val="0"/>
          <w:numId w:val="11"/>
        </w:numPr>
        <w:rPr>
          <w:rFonts w:ascii="Georgia" w:hAnsi="Georgia"/>
          <w:color w:val="000000" w:themeColor="text1"/>
          <w:sz w:val="24"/>
          <w:szCs w:val="24"/>
        </w:rPr>
      </w:pPr>
      <w:r w:rsidRPr="00013813">
        <w:rPr>
          <w:rFonts w:ascii="Georgia" w:hAnsi="Georgia"/>
          <w:color w:val="000000" w:themeColor="text1"/>
          <w:sz w:val="24"/>
          <w:szCs w:val="24"/>
        </w:rPr>
        <w:t xml:space="preserve">Knowledge Management: Enables trainers and </w:t>
      </w:r>
      <w:r w:rsidR="00013813" w:rsidRPr="00013813">
        <w:rPr>
          <w:rFonts w:ascii="Georgia" w:hAnsi="Georgia"/>
          <w:color w:val="000000" w:themeColor="text1"/>
          <w:sz w:val="24"/>
          <w:szCs w:val="24"/>
        </w:rPr>
        <w:t>subject matter experts (</w:t>
      </w:r>
      <w:r w:rsidRPr="00013813">
        <w:rPr>
          <w:rFonts w:ascii="Georgia" w:hAnsi="Georgia"/>
          <w:color w:val="000000" w:themeColor="text1"/>
          <w:sz w:val="24"/>
          <w:szCs w:val="24"/>
        </w:rPr>
        <w:t>SMEs</w:t>
      </w:r>
      <w:r w:rsidR="00013813" w:rsidRPr="00013813">
        <w:rPr>
          <w:rFonts w:ascii="Georgia" w:hAnsi="Georgia"/>
          <w:color w:val="000000" w:themeColor="text1"/>
          <w:sz w:val="24"/>
          <w:szCs w:val="24"/>
        </w:rPr>
        <w:t>)</w:t>
      </w:r>
      <w:r w:rsidRPr="00013813">
        <w:rPr>
          <w:rFonts w:ascii="Georgia" w:hAnsi="Georgia"/>
          <w:color w:val="000000" w:themeColor="text1"/>
          <w:sz w:val="24"/>
          <w:szCs w:val="24"/>
        </w:rPr>
        <w:t xml:space="preserve"> to u</w:t>
      </w:r>
      <w:r w:rsidR="00013813" w:rsidRPr="00013813">
        <w:rPr>
          <w:rFonts w:ascii="Georgia" w:hAnsi="Georgia"/>
          <w:color w:val="000000" w:themeColor="text1"/>
          <w:sz w:val="24"/>
          <w:szCs w:val="24"/>
        </w:rPr>
        <w:t>tiliz</w:t>
      </w:r>
      <w:r w:rsidRPr="00013813">
        <w:rPr>
          <w:rFonts w:ascii="Georgia" w:hAnsi="Georgia"/>
          <w:color w:val="000000" w:themeColor="text1"/>
          <w:sz w:val="24"/>
          <w:szCs w:val="24"/>
        </w:rPr>
        <w:t>e the sandbox during documentation and guide creation.</w:t>
      </w:r>
    </w:p>
    <w:p w14:paraId="6DE65446" w14:textId="46D635CC" w:rsidR="00C859F7" w:rsidRPr="00013813" w:rsidRDefault="00000000" w:rsidP="00013813">
      <w:pPr>
        <w:pStyle w:val="ListBullet"/>
        <w:numPr>
          <w:ilvl w:val="0"/>
          <w:numId w:val="11"/>
        </w:numPr>
        <w:rPr>
          <w:rFonts w:ascii="Georgia" w:hAnsi="Georgia"/>
          <w:color w:val="000000" w:themeColor="text1"/>
          <w:sz w:val="24"/>
          <w:szCs w:val="24"/>
        </w:rPr>
      </w:pPr>
      <w:r w:rsidRPr="00013813">
        <w:rPr>
          <w:rFonts w:ascii="Georgia" w:hAnsi="Georgia"/>
          <w:color w:val="000000" w:themeColor="text1"/>
          <w:sz w:val="24"/>
          <w:szCs w:val="24"/>
        </w:rPr>
        <w:t>Continual Improvement: Defects and test failures in the sandbox help fine-tune automation, templates, and workflows.</w:t>
      </w:r>
    </w:p>
    <w:p w14:paraId="383BF8DE" w14:textId="77777777" w:rsidR="00C859F7" w:rsidRPr="00013813" w:rsidRDefault="00000000">
      <w:pPr>
        <w:pStyle w:val="Heading2"/>
        <w:rPr>
          <w:rFonts w:ascii="Georgia" w:hAnsi="Georgia"/>
          <w:color w:val="000000" w:themeColor="text1"/>
          <w:sz w:val="24"/>
          <w:szCs w:val="24"/>
        </w:rPr>
      </w:pPr>
      <w:r w:rsidRPr="00013813">
        <w:rPr>
          <w:rFonts w:ascii="Georgia" w:hAnsi="Georgia"/>
          <w:color w:val="000000" w:themeColor="text1"/>
          <w:sz w:val="24"/>
          <w:szCs w:val="24"/>
        </w:rPr>
        <w:t>ITIL Service Value Chain Alignment</w:t>
      </w:r>
    </w:p>
    <w:p w14:paraId="6FC724CD" w14:textId="77777777" w:rsidR="00C859F7" w:rsidRPr="00013813" w:rsidRDefault="00000000">
      <w:pPr>
        <w:rPr>
          <w:rFonts w:ascii="Georgia" w:hAnsi="Georgia"/>
          <w:color w:val="000000" w:themeColor="text1"/>
          <w:sz w:val="24"/>
          <w:szCs w:val="24"/>
        </w:rPr>
      </w:pPr>
      <w:r w:rsidRPr="00013813">
        <w:rPr>
          <w:rFonts w:ascii="Georgia" w:hAnsi="Georgia"/>
          <w:color w:val="000000" w:themeColor="text1"/>
          <w:sz w:val="24"/>
          <w:szCs w:val="24"/>
        </w:rPr>
        <w:t>Sandbox environments support multiple steps in the ITIL value chain by allowing structured and secure experimentation:</w:t>
      </w:r>
    </w:p>
    <w:p w14:paraId="45DBC99A" w14:textId="418E5757" w:rsidR="00C859F7" w:rsidRPr="00013813" w:rsidRDefault="00000000" w:rsidP="00013813">
      <w:pPr>
        <w:pStyle w:val="ListBullet"/>
        <w:numPr>
          <w:ilvl w:val="0"/>
          <w:numId w:val="12"/>
        </w:numPr>
        <w:rPr>
          <w:rFonts w:ascii="Georgia" w:hAnsi="Georgia"/>
          <w:color w:val="000000" w:themeColor="text1"/>
          <w:sz w:val="24"/>
          <w:szCs w:val="24"/>
        </w:rPr>
      </w:pPr>
      <w:r w:rsidRPr="00013813">
        <w:rPr>
          <w:rFonts w:ascii="Georgia" w:hAnsi="Georgia"/>
          <w:color w:val="000000" w:themeColor="text1"/>
          <w:sz w:val="24"/>
          <w:szCs w:val="24"/>
        </w:rPr>
        <w:t>Plan: Define policies, training materials, and test plans before rollout.</w:t>
      </w:r>
    </w:p>
    <w:p w14:paraId="1BD1FFF9" w14:textId="66E20E04" w:rsidR="00C859F7" w:rsidRPr="00013813" w:rsidRDefault="00000000" w:rsidP="00013813">
      <w:pPr>
        <w:pStyle w:val="ListBullet"/>
        <w:numPr>
          <w:ilvl w:val="0"/>
          <w:numId w:val="12"/>
        </w:numPr>
        <w:rPr>
          <w:rFonts w:ascii="Georgia" w:hAnsi="Georgia"/>
          <w:color w:val="000000" w:themeColor="text1"/>
          <w:sz w:val="24"/>
          <w:szCs w:val="24"/>
        </w:rPr>
      </w:pPr>
      <w:r w:rsidRPr="00013813">
        <w:rPr>
          <w:rFonts w:ascii="Georgia" w:hAnsi="Georgia"/>
          <w:color w:val="000000" w:themeColor="text1"/>
          <w:sz w:val="24"/>
          <w:szCs w:val="24"/>
        </w:rPr>
        <w:t xml:space="preserve">Design &amp; Transition: Model and refine workflows and automations in </w:t>
      </w:r>
      <w:r w:rsidR="00013813" w:rsidRPr="00013813">
        <w:rPr>
          <w:rFonts w:ascii="Georgia" w:hAnsi="Georgia"/>
          <w:color w:val="000000" w:themeColor="text1"/>
          <w:sz w:val="24"/>
          <w:szCs w:val="24"/>
        </w:rPr>
        <w:t xml:space="preserve">the </w:t>
      </w:r>
      <w:r w:rsidRPr="00013813">
        <w:rPr>
          <w:rFonts w:ascii="Georgia" w:hAnsi="Georgia"/>
          <w:color w:val="000000" w:themeColor="text1"/>
          <w:sz w:val="24"/>
          <w:szCs w:val="24"/>
        </w:rPr>
        <w:t>sandbox.</w:t>
      </w:r>
    </w:p>
    <w:p w14:paraId="6255C3EE" w14:textId="432C1BDC" w:rsidR="00C859F7" w:rsidRPr="00013813" w:rsidRDefault="00000000" w:rsidP="00013813">
      <w:pPr>
        <w:pStyle w:val="ListBullet"/>
        <w:numPr>
          <w:ilvl w:val="0"/>
          <w:numId w:val="12"/>
        </w:numPr>
        <w:rPr>
          <w:rFonts w:ascii="Georgia" w:hAnsi="Georgia"/>
          <w:color w:val="000000" w:themeColor="text1"/>
          <w:sz w:val="24"/>
          <w:szCs w:val="24"/>
        </w:rPr>
      </w:pPr>
      <w:r w:rsidRPr="00013813">
        <w:rPr>
          <w:rFonts w:ascii="Georgia" w:hAnsi="Georgia"/>
          <w:color w:val="000000" w:themeColor="text1"/>
          <w:sz w:val="24"/>
          <w:szCs w:val="24"/>
        </w:rPr>
        <w:t>Obtain/Build: Prototype new functionality and confirm integrations using near-production data.</w:t>
      </w:r>
    </w:p>
    <w:p w14:paraId="0F4A5E73" w14:textId="0DAE9B85" w:rsidR="00C859F7" w:rsidRPr="00013813" w:rsidRDefault="00000000" w:rsidP="00013813">
      <w:pPr>
        <w:pStyle w:val="ListBullet"/>
        <w:numPr>
          <w:ilvl w:val="0"/>
          <w:numId w:val="12"/>
        </w:numPr>
        <w:rPr>
          <w:rFonts w:ascii="Georgia" w:hAnsi="Georgia"/>
          <w:color w:val="000000" w:themeColor="text1"/>
          <w:sz w:val="24"/>
          <w:szCs w:val="24"/>
        </w:rPr>
      </w:pPr>
      <w:r w:rsidRPr="00013813">
        <w:rPr>
          <w:rFonts w:ascii="Georgia" w:hAnsi="Georgia"/>
          <w:color w:val="000000" w:themeColor="text1"/>
          <w:sz w:val="24"/>
          <w:szCs w:val="24"/>
        </w:rPr>
        <w:t>Deliver &amp; Support: Confirm SLAs, user experience, and resolution flows under load and role conditions.</w:t>
      </w:r>
    </w:p>
    <w:sectPr w:rsidR="00C859F7" w:rsidRPr="0001381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105C4056"/>
    <w:multiLevelType w:val="hybridMultilevel"/>
    <w:tmpl w:val="206E9AE4"/>
    <w:lvl w:ilvl="0" w:tplc="60B44FB4">
      <w:start w:val="7"/>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2E6A56"/>
    <w:multiLevelType w:val="hybridMultilevel"/>
    <w:tmpl w:val="628CFBC0"/>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15833"/>
    <w:multiLevelType w:val="hybridMultilevel"/>
    <w:tmpl w:val="A75E4D98"/>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5052489">
    <w:abstractNumId w:val="8"/>
  </w:num>
  <w:num w:numId="2" w16cid:durableId="1455638134">
    <w:abstractNumId w:val="6"/>
  </w:num>
  <w:num w:numId="3" w16cid:durableId="1778676267">
    <w:abstractNumId w:val="5"/>
  </w:num>
  <w:num w:numId="4" w16cid:durableId="723259875">
    <w:abstractNumId w:val="4"/>
  </w:num>
  <w:num w:numId="5" w16cid:durableId="2078551086">
    <w:abstractNumId w:val="7"/>
  </w:num>
  <w:num w:numId="6" w16cid:durableId="1369406205">
    <w:abstractNumId w:val="3"/>
  </w:num>
  <w:num w:numId="7" w16cid:durableId="1961951335">
    <w:abstractNumId w:val="2"/>
  </w:num>
  <w:num w:numId="8" w16cid:durableId="1790008590">
    <w:abstractNumId w:val="1"/>
  </w:num>
  <w:num w:numId="9" w16cid:durableId="44523892">
    <w:abstractNumId w:val="0"/>
  </w:num>
  <w:num w:numId="10" w16cid:durableId="1150293001">
    <w:abstractNumId w:val="11"/>
  </w:num>
  <w:num w:numId="11" w16cid:durableId="1954552573">
    <w:abstractNumId w:val="9"/>
  </w:num>
  <w:num w:numId="12" w16cid:durableId="8829796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13813"/>
    <w:rsid w:val="00034616"/>
    <w:rsid w:val="0006063C"/>
    <w:rsid w:val="0015074B"/>
    <w:rsid w:val="0029639D"/>
    <w:rsid w:val="00326F90"/>
    <w:rsid w:val="00AA1D8D"/>
    <w:rsid w:val="00B47730"/>
    <w:rsid w:val="00C859F7"/>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482935"/>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1150</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2025-06-06T14:53:00Z</dcterms:modified>
  <cp:category/>
</cp:coreProperties>
</file>