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8BAB1" w14:textId="77777777" w:rsidR="00DE5F92" w:rsidRPr="007B480E" w:rsidRDefault="00000000">
      <w:pPr>
        <w:pStyle w:val="Heading1"/>
        <w:rPr>
          <w:rFonts w:ascii="Source Sans Pro" w:hAnsi="Source Sans Pro"/>
          <w:color w:val="000000" w:themeColor="text1"/>
        </w:rPr>
      </w:pPr>
      <w:r w:rsidRPr="007B480E">
        <w:rPr>
          <w:rFonts w:ascii="Source Sans Pro" w:hAnsi="Source Sans Pro"/>
          <w:color w:val="000000" w:themeColor="text1"/>
        </w:rPr>
        <w:t>Incorporating ITIL Principles into Role Design</w:t>
      </w:r>
    </w:p>
    <w:p w14:paraId="62FEE27A" w14:textId="2CFC0C4E" w:rsidR="00DE5F92" w:rsidRPr="007B480E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7B480E">
        <w:rPr>
          <w:rFonts w:ascii="Georgia" w:hAnsi="Georgia"/>
          <w:color w:val="000000" w:themeColor="text1"/>
          <w:sz w:val="24"/>
          <w:szCs w:val="24"/>
        </w:rPr>
        <w:t>Designing roles within Freshservice based on ITIL principles ensures accountability, access control, and alignment with best practices</w:t>
      </w:r>
      <w:r w:rsidR="007B480E">
        <w:rPr>
          <w:rFonts w:ascii="Georgia" w:hAnsi="Georgia"/>
          <w:color w:val="000000" w:themeColor="text1"/>
          <w:sz w:val="24"/>
          <w:szCs w:val="24"/>
        </w:rPr>
        <w:t xml:space="preserve"> in service management</w:t>
      </w:r>
      <w:r w:rsidRPr="007B480E">
        <w:rPr>
          <w:rFonts w:ascii="Georgia" w:hAnsi="Georgia"/>
          <w:color w:val="000000" w:themeColor="text1"/>
          <w:sz w:val="24"/>
          <w:szCs w:val="24"/>
        </w:rPr>
        <w:t>. This approach supports a secure, auditable, and scalable Freshservice environment.</w:t>
      </w:r>
    </w:p>
    <w:p w14:paraId="67435BC7" w14:textId="77777777" w:rsidR="00DE5F92" w:rsidRPr="007B480E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7B480E">
        <w:rPr>
          <w:rFonts w:ascii="Georgia" w:hAnsi="Georgia"/>
          <w:color w:val="000000" w:themeColor="text1"/>
          <w:sz w:val="24"/>
          <w:szCs w:val="24"/>
        </w:rPr>
        <w:t>Key ITIL Principles for Role Design</w:t>
      </w:r>
    </w:p>
    <w:p w14:paraId="1E24CBFE" w14:textId="4991A57F" w:rsidR="00DE5F92" w:rsidRPr="007B480E" w:rsidRDefault="00000000" w:rsidP="007B480E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B480E">
        <w:rPr>
          <w:rFonts w:ascii="Georgia" w:hAnsi="Georgia"/>
          <w:color w:val="000000" w:themeColor="text1"/>
          <w:sz w:val="24"/>
          <w:szCs w:val="24"/>
        </w:rPr>
        <w:t>Separation of Duties: Align roles so that no one user has full control over request approval, implementation, and closure.</w:t>
      </w:r>
    </w:p>
    <w:p w14:paraId="04B29BEE" w14:textId="4F73CF03" w:rsidR="00DE5F92" w:rsidRPr="007B480E" w:rsidRDefault="00000000" w:rsidP="007B480E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B480E">
        <w:rPr>
          <w:rFonts w:ascii="Georgia" w:hAnsi="Georgia"/>
          <w:color w:val="000000" w:themeColor="text1"/>
          <w:sz w:val="24"/>
          <w:szCs w:val="24"/>
        </w:rPr>
        <w:t>Least Privilege: Grant only what a role requires to function effectively. For example, don’t allow all agents to modify workflows.</w:t>
      </w:r>
    </w:p>
    <w:p w14:paraId="5314A5F8" w14:textId="6F1C01F8" w:rsidR="00DE5F92" w:rsidRPr="007B480E" w:rsidRDefault="00000000" w:rsidP="007B480E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B480E">
        <w:rPr>
          <w:rFonts w:ascii="Georgia" w:hAnsi="Georgia"/>
          <w:color w:val="000000" w:themeColor="text1"/>
          <w:sz w:val="24"/>
          <w:szCs w:val="24"/>
        </w:rPr>
        <w:t xml:space="preserve">Change Enablement: Change Managers should have full access to the Change module, but limited access </w:t>
      </w:r>
      <w:r w:rsidR="007B480E">
        <w:rPr>
          <w:rFonts w:ascii="Georgia" w:hAnsi="Georgia"/>
          <w:color w:val="000000" w:themeColor="text1"/>
          <w:sz w:val="24"/>
          <w:szCs w:val="24"/>
        </w:rPr>
        <w:t>to other modules</w:t>
      </w:r>
      <w:r w:rsidRPr="007B480E">
        <w:rPr>
          <w:rFonts w:ascii="Georgia" w:hAnsi="Georgia"/>
          <w:color w:val="000000" w:themeColor="text1"/>
          <w:sz w:val="24"/>
          <w:szCs w:val="24"/>
        </w:rPr>
        <w:t>.</w:t>
      </w:r>
    </w:p>
    <w:p w14:paraId="5A2FF0E3" w14:textId="39899098" w:rsidR="00DE5F92" w:rsidRPr="007B480E" w:rsidRDefault="00000000" w:rsidP="007B480E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B480E">
        <w:rPr>
          <w:rFonts w:ascii="Georgia" w:hAnsi="Georgia"/>
          <w:color w:val="000000" w:themeColor="text1"/>
          <w:sz w:val="24"/>
          <w:szCs w:val="24"/>
        </w:rPr>
        <w:t>Access Management: Managers and team leads can be assigned approval privileges tied to user provisioning and deprovisioning workflows.</w:t>
      </w:r>
    </w:p>
    <w:p w14:paraId="7C390D7A" w14:textId="77777777" w:rsidR="00DE5F92" w:rsidRPr="007B480E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7B480E">
        <w:rPr>
          <w:rFonts w:ascii="Georgia" w:hAnsi="Georgia"/>
          <w:color w:val="000000" w:themeColor="text1"/>
          <w:sz w:val="24"/>
          <w:szCs w:val="24"/>
        </w:rPr>
        <w:t>ITIL Alignment – Information Security Management</w:t>
      </w:r>
    </w:p>
    <w:p w14:paraId="33C6F96E" w14:textId="1F6B35D6" w:rsidR="00DE5F92" w:rsidRPr="007B480E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7B480E">
        <w:rPr>
          <w:rFonts w:ascii="Georgia" w:hAnsi="Georgia"/>
          <w:color w:val="000000" w:themeColor="text1"/>
          <w:sz w:val="24"/>
          <w:szCs w:val="24"/>
        </w:rPr>
        <w:t xml:space="preserve">ITIL’s Information Security Management practice emphasizes the importance of clearly defined access permissions and role accountability. By implementing RBAC in Freshservice </w:t>
      </w:r>
      <w:r w:rsidR="007B480E">
        <w:rPr>
          <w:rFonts w:ascii="Georgia" w:hAnsi="Georgia"/>
          <w:color w:val="000000" w:themeColor="text1"/>
          <w:sz w:val="24"/>
          <w:szCs w:val="24"/>
        </w:rPr>
        <w:t xml:space="preserve">in accordance </w:t>
      </w:r>
      <w:r w:rsidRPr="007B480E">
        <w:rPr>
          <w:rFonts w:ascii="Georgia" w:hAnsi="Georgia"/>
          <w:color w:val="000000" w:themeColor="text1"/>
          <w:sz w:val="24"/>
          <w:szCs w:val="24"/>
        </w:rPr>
        <w:t xml:space="preserve">with ITIL principles, organizations can prevent unauthorized changes, </w:t>
      </w:r>
      <w:r w:rsidR="007B480E">
        <w:rPr>
          <w:rFonts w:ascii="Georgia" w:hAnsi="Georgia"/>
          <w:color w:val="000000" w:themeColor="text1"/>
          <w:sz w:val="24"/>
          <w:szCs w:val="24"/>
        </w:rPr>
        <w:t>enhanc</w:t>
      </w:r>
      <w:r w:rsidRPr="007B480E">
        <w:rPr>
          <w:rFonts w:ascii="Georgia" w:hAnsi="Georgia"/>
          <w:color w:val="000000" w:themeColor="text1"/>
          <w:sz w:val="24"/>
          <w:szCs w:val="24"/>
        </w:rPr>
        <w:t xml:space="preserve">e audit readiness, and enforce </w:t>
      </w:r>
      <w:r w:rsidR="007B480E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7B480E">
        <w:rPr>
          <w:rFonts w:ascii="Georgia" w:hAnsi="Georgia"/>
          <w:color w:val="000000" w:themeColor="text1"/>
          <w:sz w:val="24"/>
          <w:szCs w:val="24"/>
        </w:rPr>
        <w:t>secure delegation of responsibilities.</w:t>
      </w:r>
    </w:p>
    <w:sectPr w:rsidR="00DE5F92" w:rsidRPr="007B480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7FF68B4"/>
    <w:multiLevelType w:val="hybridMultilevel"/>
    <w:tmpl w:val="43266B30"/>
    <w:lvl w:ilvl="0" w:tplc="60B44FB4">
      <w:start w:val="5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341CB"/>
    <w:multiLevelType w:val="hybridMultilevel"/>
    <w:tmpl w:val="A7143724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79494">
    <w:abstractNumId w:val="8"/>
  </w:num>
  <w:num w:numId="2" w16cid:durableId="627662869">
    <w:abstractNumId w:val="6"/>
  </w:num>
  <w:num w:numId="3" w16cid:durableId="32578162">
    <w:abstractNumId w:val="5"/>
  </w:num>
  <w:num w:numId="4" w16cid:durableId="1363017819">
    <w:abstractNumId w:val="4"/>
  </w:num>
  <w:num w:numId="5" w16cid:durableId="907615857">
    <w:abstractNumId w:val="7"/>
  </w:num>
  <w:num w:numId="6" w16cid:durableId="1027103960">
    <w:abstractNumId w:val="3"/>
  </w:num>
  <w:num w:numId="7" w16cid:durableId="1900169567">
    <w:abstractNumId w:val="2"/>
  </w:num>
  <w:num w:numId="8" w16cid:durableId="280188909">
    <w:abstractNumId w:val="1"/>
  </w:num>
  <w:num w:numId="9" w16cid:durableId="393161673">
    <w:abstractNumId w:val="0"/>
  </w:num>
  <w:num w:numId="10" w16cid:durableId="1788622051">
    <w:abstractNumId w:val="10"/>
  </w:num>
  <w:num w:numId="11" w16cid:durableId="21250299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7B480E"/>
    <w:rsid w:val="00AA1D8D"/>
    <w:rsid w:val="00B47730"/>
    <w:rsid w:val="00CB0664"/>
    <w:rsid w:val="00DE5F9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A0AB31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1039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2025-06-05T21:36:00Z</dcterms:modified>
  <cp:category/>
</cp:coreProperties>
</file>