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874BF7" w14:textId="7BB09E19" w:rsidR="005C7401" w:rsidRPr="00E81FD7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E81FD7">
        <w:rPr>
          <w:rFonts w:ascii="Source Sans Pro" w:hAnsi="Source Sans Pro"/>
          <w:color w:val="000000" w:themeColor="text1"/>
          <w:sz w:val="40"/>
          <w:szCs w:val="40"/>
        </w:rPr>
        <w:t>Sandbox Testing Tracker – Freshservice Implementation</w:t>
      </w:r>
    </w:p>
    <w:p w14:paraId="057A2B56" w14:textId="2AC30CB2" w:rsidR="005C7401" w:rsidRPr="00E81FD7" w:rsidRDefault="00000000">
      <w:pPr>
        <w:rPr>
          <w:rFonts w:ascii="Georgia" w:hAnsi="Georgia"/>
          <w:sz w:val="24"/>
          <w:szCs w:val="24"/>
        </w:rPr>
      </w:pPr>
      <w:r w:rsidRPr="00E81FD7">
        <w:rPr>
          <w:rFonts w:ascii="Georgia" w:hAnsi="Georgia"/>
          <w:sz w:val="24"/>
          <w:szCs w:val="24"/>
        </w:rPr>
        <w:t>Use this tracker to document who tested each feature area, capture status, and log notes or issues encountered. This supports testing</w:t>
      </w:r>
      <w:r w:rsidR="00E81FD7" w:rsidRPr="00E81FD7">
        <w:rPr>
          <w:rFonts w:ascii="Georgia" w:hAnsi="Georgia"/>
          <w:sz w:val="24"/>
          <w:szCs w:val="24"/>
        </w:rPr>
        <w:t>,</w:t>
      </w:r>
      <w:r w:rsidRPr="00E81FD7">
        <w:rPr>
          <w:rFonts w:ascii="Georgia" w:hAnsi="Georgia"/>
          <w:sz w:val="24"/>
          <w:szCs w:val="24"/>
        </w:rPr>
        <w:t xml:space="preserve"> validation</w:t>
      </w:r>
      <w:r w:rsidR="00E81FD7" w:rsidRPr="00E81FD7">
        <w:rPr>
          <w:rFonts w:ascii="Georgia" w:hAnsi="Georgia"/>
          <w:sz w:val="24"/>
          <w:szCs w:val="24"/>
        </w:rPr>
        <w:t>,</w:t>
      </w:r>
      <w:r w:rsidRPr="00E81FD7">
        <w:rPr>
          <w:rFonts w:ascii="Georgia" w:hAnsi="Georgia"/>
          <w:sz w:val="24"/>
          <w:szCs w:val="24"/>
        </w:rPr>
        <w:t xml:space="preserve"> and audit readiness </w:t>
      </w:r>
      <w:r w:rsidR="00E81FD7" w:rsidRPr="00E81FD7">
        <w:rPr>
          <w:rFonts w:ascii="Georgia" w:hAnsi="Georgia"/>
          <w:sz w:val="24"/>
          <w:szCs w:val="24"/>
        </w:rPr>
        <w:t>in accordance with</w:t>
      </w:r>
      <w:r w:rsidRPr="00E81FD7">
        <w:rPr>
          <w:rFonts w:ascii="Georgia" w:hAnsi="Georgia"/>
          <w:sz w:val="24"/>
          <w:szCs w:val="24"/>
        </w:rPr>
        <w:t xml:space="preserve"> ITIL's Service Validation and Testing practices.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807"/>
        <w:gridCol w:w="1728"/>
        <w:gridCol w:w="1728"/>
        <w:gridCol w:w="1728"/>
      </w:tblGrid>
      <w:tr w:rsidR="005C7401" w:rsidRPr="00E81FD7" w14:paraId="52C850EE" w14:textId="77777777">
        <w:tc>
          <w:tcPr>
            <w:tcW w:w="1728" w:type="dxa"/>
          </w:tcPr>
          <w:p w14:paraId="3ADD253C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Feature Area</w:t>
            </w:r>
          </w:p>
        </w:tc>
        <w:tc>
          <w:tcPr>
            <w:tcW w:w="1728" w:type="dxa"/>
          </w:tcPr>
          <w:p w14:paraId="50EA41F7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Test Scenario</w:t>
            </w:r>
          </w:p>
        </w:tc>
        <w:tc>
          <w:tcPr>
            <w:tcW w:w="1728" w:type="dxa"/>
          </w:tcPr>
          <w:p w14:paraId="45F19266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Tested By</w:t>
            </w:r>
          </w:p>
        </w:tc>
        <w:tc>
          <w:tcPr>
            <w:tcW w:w="1728" w:type="dxa"/>
          </w:tcPr>
          <w:p w14:paraId="5F8A1B95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Status</w:t>
            </w:r>
          </w:p>
        </w:tc>
        <w:tc>
          <w:tcPr>
            <w:tcW w:w="1728" w:type="dxa"/>
          </w:tcPr>
          <w:p w14:paraId="50511CBD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Notes</w:t>
            </w:r>
          </w:p>
        </w:tc>
      </w:tr>
      <w:tr w:rsidR="005C7401" w:rsidRPr="00E81FD7" w14:paraId="749BDD24" w14:textId="77777777">
        <w:tc>
          <w:tcPr>
            <w:tcW w:w="1728" w:type="dxa"/>
          </w:tcPr>
          <w:p w14:paraId="69D5A53B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Workflows</w:t>
            </w:r>
          </w:p>
        </w:tc>
        <w:tc>
          <w:tcPr>
            <w:tcW w:w="1728" w:type="dxa"/>
          </w:tcPr>
          <w:p w14:paraId="4430C26B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Ticket routing, SLA changes, manager approvals</w:t>
            </w:r>
          </w:p>
        </w:tc>
        <w:tc>
          <w:tcPr>
            <w:tcW w:w="1728" w:type="dxa"/>
          </w:tcPr>
          <w:p w14:paraId="1D9F51A0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040B16EF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387B7DF4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C7401" w:rsidRPr="00E81FD7" w14:paraId="19DB4A8E" w14:textId="77777777">
        <w:tc>
          <w:tcPr>
            <w:tcW w:w="1728" w:type="dxa"/>
          </w:tcPr>
          <w:p w14:paraId="1A7FB6AD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Service Catalog</w:t>
            </w:r>
          </w:p>
        </w:tc>
        <w:tc>
          <w:tcPr>
            <w:tcW w:w="1728" w:type="dxa"/>
          </w:tcPr>
          <w:p w14:paraId="308FC36B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Form field logic, conditional visibility, request fulfillment</w:t>
            </w:r>
          </w:p>
        </w:tc>
        <w:tc>
          <w:tcPr>
            <w:tcW w:w="1728" w:type="dxa"/>
          </w:tcPr>
          <w:p w14:paraId="1648BF08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FD5639A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385B1903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C7401" w:rsidRPr="00E81FD7" w14:paraId="792CC872" w14:textId="77777777">
        <w:tc>
          <w:tcPr>
            <w:tcW w:w="1728" w:type="dxa"/>
          </w:tcPr>
          <w:p w14:paraId="0CC7E17C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Asset CMDB</w:t>
            </w:r>
          </w:p>
        </w:tc>
        <w:tc>
          <w:tcPr>
            <w:tcW w:w="1728" w:type="dxa"/>
          </w:tcPr>
          <w:p w14:paraId="6B2218DA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Relationship mapping, lookups, asset status changes</w:t>
            </w:r>
          </w:p>
        </w:tc>
        <w:tc>
          <w:tcPr>
            <w:tcW w:w="1728" w:type="dxa"/>
          </w:tcPr>
          <w:p w14:paraId="162055FD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18F88E0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A82DB88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C7401" w:rsidRPr="00E81FD7" w14:paraId="2F90A36E" w14:textId="77777777">
        <w:tc>
          <w:tcPr>
            <w:tcW w:w="1728" w:type="dxa"/>
          </w:tcPr>
          <w:p w14:paraId="4612A7AA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Roles &amp; Groups</w:t>
            </w:r>
          </w:p>
        </w:tc>
        <w:tc>
          <w:tcPr>
            <w:tcW w:w="1728" w:type="dxa"/>
          </w:tcPr>
          <w:p w14:paraId="54B6EE1D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Role-based visibility, access boundaries</w:t>
            </w:r>
          </w:p>
        </w:tc>
        <w:tc>
          <w:tcPr>
            <w:tcW w:w="1728" w:type="dxa"/>
          </w:tcPr>
          <w:p w14:paraId="08D9A1B6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01D680F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32DCFFB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C7401" w:rsidRPr="00E81FD7" w14:paraId="2914753E" w14:textId="77777777">
        <w:tc>
          <w:tcPr>
            <w:tcW w:w="1728" w:type="dxa"/>
          </w:tcPr>
          <w:p w14:paraId="5ADA853B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SLA Policies</w:t>
            </w:r>
          </w:p>
        </w:tc>
        <w:tc>
          <w:tcPr>
            <w:tcW w:w="1728" w:type="dxa"/>
          </w:tcPr>
          <w:p w14:paraId="0C361336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Timer behavior, escalation notifications</w:t>
            </w:r>
          </w:p>
        </w:tc>
        <w:tc>
          <w:tcPr>
            <w:tcW w:w="1728" w:type="dxa"/>
          </w:tcPr>
          <w:p w14:paraId="118BABE1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364D7F20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5612C4CB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C7401" w:rsidRPr="00E81FD7" w14:paraId="21D73EF0" w14:textId="77777777">
        <w:tc>
          <w:tcPr>
            <w:tcW w:w="1728" w:type="dxa"/>
          </w:tcPr>
          <w:p w14:paraId="10E288AB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Integrations</w:t>
            </w:r>
          </w:p>
        </w:tc>
        <w:tc>
          <w:tcPr>
            <w:tcW w:w="1728" w:type="dxa"/>
          </w:tcPr>
          <w:p w14:paraId="5DA1C3FD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API requests, app node calls, webhook responses</w:t>
            </w:r>
          </w:p>
        </w:tc>
        <w:tc>
          <w:tcPr>
            <w:tcW w:w="1728" w:type="dxa"/>
          </w:tcPr>
          <w:p w14:paraId="21E89FC6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44620C1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4163844C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  <w:tr w:rsidR="005C7401" w:rsidRPr="00E81FD7" w14:paraId="315A6848" w14:textId="77777777">
        <w:tc>
          <w:tcPr>
            <w:tcW w:w="1728" w:type="dxa"/>
          </w:tcPr>
          <w:p w14:paraId="5996432B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Portal</w:t>
            </w:r>
          </w:p>
        </w:tc>
        <w:tc>
          <w:tcPr>
            <w:tcW w:w="1728" w:type="dxa"/>
          </w:tcPr>
          <w:p w14:paraId="749BBB7C" w14:textId="77777777" w:rsidR="005C7401" w:rsidRPr="00E81FD7" w:rsidRDefault="00000000">
            <w:pPr>
              <w:rPr>
                <w:rFonts w:ascii="Georgia" w:hAnsi="Georgia"/>
                <w:sz w:val="24"/>
                <w:szCs w:val="24"/>
              </w:rPr>
            </w:pPr>
            <w:r w:rsidRPr="00E81FD7">
              <w:rPr>
                <w:rFonts w:ascii="Georgia" w:hAnsi="Georgia"/>
                <w:sz w:val="24"/>
                <w:szCs w:val="24"/>
              </w:rPr>
              <w:t>End-user visibility, language localization, announcement rendering</w:t>
            </w:r>
          </w:p>
        </w:tc>
        <w:tc>
          <w:tcPr>
            <w:tcW w:w="1728" w:type="dxa"/>
          </w:tcPr>
          <w:p w14:paraId="15746F59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EE06101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0F63BA0" w14:textId="77777777" w:rsidR="005C7401" w:rsidRPr="00E81FD7" w:rsidRDefault="005C7401">
            <w:pPr>
              <w:rPr>
                <w:rFonts w:ascii="Georgia" w:hAnsi="Georgia"/>
                <w:sz w:val="24"/>
                <w:szCs w:val="24"/>
              </w:rPr>
            </w:pPr>
          </w:p>
        </w:tc>
      </w:tr>
    </w:tbl>
    <w:p w14:paraId="745F4F12" w14:textId="77777777" w:rsidR="009645DB" w:rsidRPr="00E81FD7" w:rsidRDefault="009645DB">
      <w:pPr>
        <w:rPr>
          <w:rFonts w:ascii="Georgia" w:hAnsi="Georgia"/>
          <w:sz w:val="24"/>
          <w:szCs w:val="24"/>
        </w:rPr>
      </w:pPr>
    </w:p>
    <w:sectPr w:rsidR="009645DB" w:rsidRPr="00E81FD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733921">
    <w:abstractNumId w:val="8"/>
  </w:num>
  <w:num w:numId="2" w16cid:durableId="1677610852">
    <w:abstractNumId w:val="6"/>
  </w:num>
  <w:num w:numId="3" w16cid:durableId="1831289169">
    <w:abstractNumId w:val="5"/>
  </w:num>
  <w:num w:numId="4" w16cid:durableId="1317148506">
    <w:abstractNumId w:val="4"/>
  </w:num>
  <w:num w:numId="5" w16cid:durableId="1881548637">
    <w:abstractNumId w:val="7"/>
  </w:num>
  <w:num w:numId="6" w16cid:durableId="1915506156">
    <w:abstractNumId w:val="3"/>
  </w:num>
  <w:num w:numId="7" w16cid:durableId="789858670">
    <w:abstractNumId w:val="2"/>
  </w:num>
  <w:num w:numId="8" w16cid:durableId="1767313255">
    <w:abstractNumId w:val="1"/>
  </w:num>
  <w:num w:numId="9" w16cid:durableId="2002388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5C7401"/>
    <w:rsid w:val="009645DB"/>
    <w:rsid w:val="00AA1D8D"/>
    <w:rsid w:val="00B47730"/>
    <w:rsid w:val="00CB0664"/>
    <w:rsid w:val="00E81F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8A5699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693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2025-06-06T14:46:00Z</dcterms:modified>
  <cp:category/>
</cp:coreProperties>
</file>