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Service Catalog Planning Tips</w:t>
      </w:r>
    </w:p>
    <w:p>
      <w:r>
        <w:t>• Limit the initial catalog to 25–30 items to avoid overcomplexity at launch.</w:t>
      </w:r>
    </w:p>
    <w:p>
      <w:r>
        <w:t>• Use clear, non-technical labels for service items (e.g., 'Request Email Access').</w:t>
      </w:r>
    </w:p>
    <w:p>
      <w:r>
        <w:t>• Group items logically under no more than 10 categories.</w:t>
      </w:r>
    </w:p>
    <w:p>
      <w:r>
        <w:t>• Plan approval workflows based on item sensitivity (e.g., cost, access level).</w:t>
      </w:r>
    </w:p>
    <w:p>
      <w:r>
        <w:t>• Standardize common fields like 'Location', 'Department', or 'Asset Type'.</w:t>
      </w:r>
    </w:p>
    <w:p>
      <w:r>
        <w:t>• Design items to map directly to workflows and SLAs.</w:t>
      </w:r>
    </w:p>
    <w:p>
      <w:r>
        <w:t>• Document who owns and maintains each catalog item.</w:t>
      </w:r>
    </w:p>
    <w:p>
      <w:r>
        <w:t>• Include automation where possible, such as routing, task generation, or notifications.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