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38 – Align Freshservice with Strategic Planning Cycles</w:t>
      </w:r>
    </w:p>
    <w:p>
      <w:r>
        <w:t>☐ Initiate Freshservice alignment cycle during annual or midyear strategy planning.</w:t>
      </w:r>
    </w:p>
    <w:p>
      <w:r>
        <w:t>☐ Meet with leadership and discuss new org needs, KPIs, or IT changes.</w:t>
      </w:r>
    </w:p>
    <w:p>
      <w:r>
        <w:t>☐ Translate strategy shifts into Freshservice updates: SLAs, roles, reports, workflows.</w:t>
      </w:r>
    </w:p>
    <w:p>
      <w:r>
        <w:t>☐ Create roadmap tickets and prioritize internal Freshservice changes.</w:t>
      </w:r>
    </w:p>
    <w:p>
      <w:r>
        <w:t>☐ Present roadmap updates to CAB or governance council for endorsement.</w:t>
      </w:r>
    </w:p>
    <w:p>
      <w:r>
        <w:t>☐ Track completion and revisit alignment in the next planning cycle.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