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37 – Biannual Freshservice Maturity Review</w:t>
      </w:r>
    </w:p>
    <w:p>
      <w:r>
        <w:t>☐ Schedule the maturity review during Q2 and Q4 planning cycles.</w:t>
      </w:r>
    </w:p>
    <w:p>
      <w:r>
        <w:t>☐ Review governance: Check platform owner assignments and group access.</w:t>
      </w:r>
    </w:p>
    <w:p>
      <w:r>
        <w:t>☐ Review accuracy: Audit workflows, forms, and automation for current fit.</w:t>
      </w:r>
    </w:p>
    <w:p>
      <w:r>
        <w:t>☐ Review adoption: Check department-level usage, service catalog adoption, and agent participation.</w:t>
      </w:r>
    </w:p>
    <w:p>
      <w:r>
        <w:t>☐ Review reporting: Confirm KPIs are reviewed, understood, and used.</w:t>
      </w:r>
    </w:p>
    <w:p>
      <w:r>
        <w:t>☐ Assign maturity scores (1–5) across governance, accuracy, adoption, and reporting.</w:t>
      </w:r>
    </w:p>
    <w:p>
      <w:r>
        <w:t>☐ Summarize findings in PDF and present to IT or service governance leadership.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