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Checklist: Use Case 36 – Workflow and Automation Scalability</w:t>
      </w:r>
    </w:p>
    <w:p>
      <w:r>
        <w:t>☐ Define naming conventions for workflows (e.g., Dept - Process - Function).</w:t>
      </w:r>
    </w:p>
    <w:p>
      <w:r>
        <w:t>☐ Organize workflows in folders by department, use case, or function.</w:t>
      </w:r>
    </w:p>
    <w:p>
      <w:r>
        <w:t>☐ Document each workflow's purpose, logic, triggers, and dependencies.</w:t>
      </w:r>
    </w:p>
    <w:p>
      <w:r>
        <w:t>☐ Use tags or notes to mark owners and key change considerations.</w:t>
      </w:r>
    </w:p>
    <w:p>
      <w:r>
        <w:t>☐ Export complex workflows in JSON format and store in version control (e.g., shared drive, Git).</w:t>
      </w:r>
    </w:p>
    <w:p>
      <w:r>
        <w:t>☐ Conduct quarterly reviews to remove obsolete or inactive workflows.</w:t>
      </w:r>
    </w:p>
    <w:p>
      <w:r>
        <w:t>☐ Train department owners on maintaining their automation logic.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